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9767" w14:textId="5936ABAF" w:rsidR="00BE515E" w:rsidRDefault="00732C7A" w:rsidP="00732C7A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732C7A">
        <w:rPr>
          <w:rFonts w:ascii="標楷體" w:eastAsia="標楷體" w:hAnsi="標楷體" w:hint="eastAsia"/>
          <w:b/>
          <w:bCs/>
          <w:sz w:val="36"/>
          <w:szCs w:val="32"/>
        </w:rPr>
        <w:t>公共污水下水道系統污水處理廠基本資料調查問卷</w:t>
      </w:r>
    </w:p>
    <w:p w14:paraId="216530B1" w14:textId="4B24ED0B" w:rsidR="00732C7A" w:rsidRPr="00732C7A" w:rsidRDefault="00176281" w:rsidP="00732C7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695FC" wp14:editId="5F74F2EE">
                <wp:simplePos x="0" y="0"/>
                <wp:positionH relativeFrom="column">
                  <wp:posOffset>45720</wp:posOffset>
                </wp:positionH>
                <wp:positionV relativeFrom="paragraph">
                  <wp:posOffset>228600</wp:posOffset>
                </wp:positionV>
                <wp:extent cx="628650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364B3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8pt" to="49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732C7A" w:rsidRPr="00732C7A">
        <w:rPr>
          <w:rFonts w:ascii="標楷體" w:eastAsia="標楷體" w:hAnsi="標楷體" w:hint="eastAsia"/>
        </w:rPr>
        <w:t>財團法人環境與發展基金會</w:t>
      </w:r>
    </w:p>
    <w:p w14:paraId="537669F2" w14:textId="2D041EF1" w:rsidR="00732C7A" w:rsidRPr="00FB7E6A" w:rsidRDefault="00732C7A" w:rsidP="00176281">
      <w:pPr>
        <w:spacing w:line="276" w:lineRule="auto"/>
        <w:ind w:leftChars="295" w:left="709" w:hanging="1"/>
        <w:rPr>
          <w:rFonts w:ascii="標楷體" w:eastAsia="標楷體" w:hAnsi="標楷體"/>
          <w:sz w:val="26"/>
          <w:szCs w:val="26"/>
        </w:rPr>
      </w:pPr>
      <w:r w:rsidRPr="00FB7E6A">
        <w:rPr>
          <w:rFonts w:ascii="標楷體" w:eastAsia="標楷體" w:hAnsi="標楷體" w:hint="eastAsia"/>
          <w:sz w:val="26"/>
          <w:szCs w:val="26"/>
        </w:rPr>
        <w:t>貴單位鈞鑒：</w:t>
      </w:r>
    </w:p>
    <w:p w14:paraId="71FE848C" w14:textId="53307869" w:rsidR="00192191" w:rsidRDefault="00FB7E6A" w:rsidP="00176281">
      <w:pPr>
        <w:spacing w:line="276" w:lineRule="auto"/>
        <w:ind w:leftChars="59" w:left="142" w:firstLineChars="218" w:firstLine="567"/>
        <w:rPr>
          <w:rFonts w:ascii="標楷體" w:eastAsia="標楷體" w:hAnsi="標楷體"/>
          <w:sz w:val="26"/>
          <w:szCs w:val="26"/>
        </w:rPr>
      </w:pPr>
      <w:r w:rsidRPr="00FB7E6A">
        <w:rPr>
          <w:rFonts w:ascii="標楷體" w:eastAsia="標楷體" w:hAnsi="標楷體" w:hint="eastAsia"/>
          <w:sz w:val="26"/>
          <w:szCs w:val="26"/>
        </w:rPr>
        <w:t>近年來全球氣候變遷導致氣候變異加劇，造成豐水期極端降雨強度增加，而枯水期連續不降雨日也加長，進而影響區域整體的供水能力。經濟部水利署除持續傳統水資源開發，加強區域水資源調度外，同時也開始積極推動再生水開發，以因應區域供水可靠度降低的問題。</w:t>
      </w:r>
      <w:r w:rsidR="007C4A7A">
        <w:rPr>
          <w:rFonts w:ascii="Times New Roman" w:eastAsia="標楷體" w:hAnsi="Times New Roman" w:cs="Times New Roman" w:hint="eastAsia"/>
          <w:kern w:val="0"/>
          <w:sz w:val="26"/>
          <w:szCs w:val="26"/>
        </w:rPr>
        <w:t>財團法人環境與發展基金會目前正執行經濟部水利署委託之</w:t>
      </w:r>
      <w:bookmarkStart w:id="0" w:name="_Hlk99026446"/>
      <w:r w:rsidR="007C4A7A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「再生水利用調查」</w:t>
      </w:r>
      <w:bookmarkEnd w:id="0"/>
      <w:r w:rsidR="006C33D7">
        <w:rPr>
          <w:rFonts w:ascii="標楷體" w:eastAsia="標楷體" w:hAnsi="標楷體" w:hint="eastAsia"/>
          <w:sz w:val="26"/>
          <w:szCs w:val="26"/>
        </w:rPr>
        <w:t>，為建置國內公共污水處理廠基本資料，藉以研擬放流水再生利用政策推動方向，擬請各位先進撥暇閱讀，並依</w:t>
      </w:r>
      <w:r w:rsidR="006C33D7" w:rsidRPr="006C33D7">
        <w:rPr>
          <w:rFonts w:ascii="標楷體" w:eastAsia="標楷體" w:hAnsi="標楷體" w:hint="eastAsia"/>
          <w:b/>
          <w:bCs/>
          <w:sz w:val="26"/>
          <w:szCs w:val="26"/>
          <w:u w:val="single"/>
          <w:shd w:val="pct15" w:color="auto" w:fill="FFFFFF"/>
        </w:rPr>
        <w:t>110年度實際運營資料</w:t>
      </w:r>
      <w:r w:rsidR="006C33D7">
        <w:rPr>
          <w:rFonts w:ascii="標楷體" w:eastAsia="標楷體" w:hAnsi="標楷體" w:hint="eastAsia"/>
          <w:sz w:val="26"/>
          <w:szCs w:val="26"/>
        </w:rPr>
        <w:t>協助填寫問卷。本問卷內容僅供經濟部水利署內部參考，相關資訊絕無外流之虞。謝謝您的協助！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C33D7" w14:paraId="51AA637F" w14:textId="77777777" w:rsidTr="00F93C79">
        <w:trPr>
          <w:trHeight w:val="1116"/>
        </w:trPr>
        <w:tc>
          <w:tcPr>
            <w:tcW w:w="9912" w:type="dxa"/>
            <w:vAlign w:val="center"/>
          </w:tcPr>
          <w:p w14:paraId="4D173D53" w14:textId="5F203118" w:rsidR="006C33D7" w:rsidRDefault="00F93C79" w:rsidP="00F93C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  <w:shd w:val="pct15" w:color="auto" w:fill="FFFFFF"/>
              </w:rPr>
              <w:drawing>
                <wp:anchor distT="0" distB="0" distL="114300" distR="114300" simplePos="0" relativeHeight="251661312" behindDoc="1" locked="0" layoutInCell="1" allowOverlap="1" wp14:anchorId="3CDC80A6" wp14:editId="42A707ED">
                  <wp:simplePos x="0" y="0"/>
                  <wp:positionH relativeFrom="column">
                    <wp:posOffset>5393690</wp:posOffset>
                  </wp:positionH>
                  <wp:positionV relativeFrom="paragraph">
                    <wp:posOffset>19818</wp:posOffset>
                  </wp:positionV>
                  <wp:extent cx="617120" cy="61712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20" cy="61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33D7">
              <w:rPr>
                <w:rFonts w:ascii="標楷體" w:eastAsia="標楷體" w:hAnsi="標楷體" w:hint="eastAsia"/>
                <w:sz w:val="26"/>
                <w:szCs w:val="26"/>
              </w:rPr>
              <w:t>本問卷可於下述網址或掃描右方QR code進行線上填寫：</w:t>
            </w:r>
          </w:p>
          <w:p w14:paraId="224BD155" w14:textId="4713D6B1" w:rsidR="006C33D7" w:rsidRDefault="008127CB" w:rsidP="00F93C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8" w:history="1">
              <w:r w:rsidR="00F93C79" w:rsidRPr="00F93C79">
                <w:rPr>
                  <w:rStyle w:val="a9"/>
                  <w:rFonts w:ascii="標楷體" w:eastAsia="標楷體" w:hAnsi="標楷體"/>
                  <w:sz w:val="26"/>
                  <w:szCs w:val="26"/>
                  <w:shd w:val="pct15" w:color="auto" w:fill="FFFFFF"/>
                </w:rPr>
                <w:t>https://forms.gle/NWmjJUPp52QHUqB68</w:t>
              </w:r>
            </w:hyperlink>
          </w:p>
        </w:tc>
      </w:tr>
    </w:tbl>
    <w:p w14:paraId="54E55976" w14:textId="64AB8C64" w:rsidR="006C33D7" w:rsidRPr="00FB7E6A" w:rsidRDefault="006C33D7" w:rsidP="00FB7E6A">
      <w:pPr>
        <w:ind w:leftChars="59" w:left="142" w:firstLineChars="100" w:firstLine="260"/>
        <w:rPr>
          <w:rFonts w:ascii="標楷體" w:eastAsia="標楷體" w:hAnsi="標楷體"/>
          <w:sz w:val="26"/>
          <w:szCs w:val="26"/>
        </w:rPr>
      </w:pPr>
    </w:p>
    <w:p w14:paraId="628EF19D" w14:textId="5EFB96B7" w:rsidR="00192191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92191">
        <w:rPr>
          <w:rFonts w:ascii="標楷體" w:eastAsia="標楷體" w:hAnsi="標楷體" w:hint="eastAsia"/>
          <w:sz w:val="26"/>
          <w:szCs w:val="26"/>
        </w:rPr>
        <w:t>廠名：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 xml:space="preserve"> </w:t>
      </w:r>
      <w:r w:rsidRPr="00192191">
        <w:rPr>
          <w:rFonts w:ascii="標楷體" w:eastAsia="標楷體" w:hAnsi="標楷體" w:hint="eastAsia"/>
          <w:sz w:val="26"/>
          <w:szCs w:val="26"/>
        </w:rPr>
        <w:t>放流水承受水體：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p w14:paraId="4E14695D" w14:textId="4E7C5278" w:rsidR="00192191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地址：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p w14:paraId="67D30F5D" w14:textId="2A5A9F9D" w:rsidR="00192191" w:rsidRPr="00BD5CCF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BD5CCF">
        <w:rPr>
          <w:rFonts w:ascii="標楷體" w:eastAsia="標楷體" w:hAnsi="標楷體" w:hint="eastAsia"/>
          <w:sz w:val="26"/>
          <w:szCs w:val="26"/>
        </w:rPr>
        <w:t>所屬污水下水道系統名稱：</w:t>
      </w:r>
      <w:r w:rsidRPr="00BD5CCF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BD5CCF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</w:p>
    <w:p w14:paraId="256C82DE" w14:textId="46E794AA" w:rsidR="00192191" w:rsidRPr="00BD5CCF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BD5CCF">
        <w:rPr>
          <w:rFonts w:ascii="標楷體" w:eastAsia="標楷體" w:hAnsi="標楷體" w:hint="eastAsia"/>
          <w:sz w:val="26"/>
          <w:szCs w:val="26"/>
        </w:rPr>
        <w:t>主管機關</w:t>
      </w:r>
      <w:r w:rsidR="004B63D5">
        <w:rPr>
          <w:rFonts w:ascii="標楷體" w:eastAsia="標楷體" w:hAnsi="標楷體" w:hint="eastAsia"/>
          <w:sz w:val="26"/>
          <w:szCs w:val="26"/>
        </w:rPr>
        <w:t>(</w:t>
      </w:r>
      <w:r w:rsidR="004B63D5">
        <w:rPr>
          <w:rFonts w:ascii="標楷體" w:eastAsia="標楷體" w:hAnsi="標楷體"/>
          <w:sz w:val="26"/>
          <w:szCs w:val="26"/>
        </w:rPr>
        <w:t>ex:</w:t>
      </w:r>
      <w:r w:rsidR="004B63D5">
        <w:rPr>
          <w:rFonts w:ascii="標楷體" w:eastAsia="標楷體" w:hAnsi="標楷體" w:hint="eastAsia"/>
          <w:sz w:val="26"/>
          <w:szCs w:val="26"/>
        </w:rPr>
        <w:t>新竹市政府)</w:t>
      </w:r>
      <w:r w:rsidRPr="00BD5CCF">
        <w:rPr>
          <w:rFonts w:ascii="標楷體" w:eastAsia="標楷體" w:hAnsi="標楷體" w:hint="eastAsia"/>
          <w:sz w:val="26"/>
          <w:szCs w:val="26"/>
        </w:rPr>
        <w:t>：</w:t>
      </w:r>
      <w:r w:rsidRPr="00BD5CCF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BD5CCF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p w14:paraId="121C2E3A" w14:textId="046BD20A" w:rsidR="00192191" w:rsidRPr="00BD5CCF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BD5CCF">
        <w:rPr>
          <w:rFonts w:ascii="標楷體" w:eastAsia="標楷體" w:hAnsi="標楷體" w:hint="eastAsia"/>
          <w:sz w:val="26"/>
          <w:szCs w:val="26"/>
        </w:rPr>
        <w:t>操作單位：</w:t>
      </w:r>
      <w:r w:rsidRPr="00BD5CCF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BD5CCF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</w:p>
    <w:p w14:paraId="7FAF6771" w14:textId="3E8B6A1B" w:rsidR="00192191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  <w:u w:val="single"/>
        </w:rPr>
      </w:pPr>
      <w:r w:rsidRPr="00BD5CCF">
        <w:rPr>
          <w:rFonts w:ascii="標楷體" w:eastAsia="標楷體" w:hAnsi="標楷體" w:hint="eastAsia"/>
          <w:sz w:val="26"/>
          <w:szCs w:val="26"/>
        </w:rPr>
        <w:t>填寫人：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 xml:space="preserve"> </w:t>
      </w:r>
      <w:r w:rsidR="00BD5CCF">
        <w:rPr>
          <w:rFonts w:ascii="標楷體" w:eastAsia="標楷體" w:hAnsi="標楷體" w:hint="eastAsia"/>
          <w:sz w:val="26"/>
          <w:szCs w:val="26"/>
        </w:rPr>
        <w:t xml:space="preserve"> </w:t>
      </w:r>
      <w:r w:rsidRPr="00BD5CCF">
        <w:rPr>
          <w:rFonts w:ascii="標楷體" w:eastAsia="標楷體" w:hAnsi="標楷體" w:hint="eastAsia"/>
          <w:sz w:val="26"/>
          <w:szCs w:val="26"/>
        </w:rPr>
        <w:t>職稱：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D5CCF">
        <w:rPr>
          <w:rFonts w:ascii="標楷體" w:eastAsia="標楷體" w:hAnsi="標楷體" w:hint="eastAsia"/>
          <w:sz w:val="26"/>
          <w:szCs w:val="26"/>
        </w:rPr>
        <w:t>部門：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p w14:paraId="7905FA74" w14:textId="03F8CD36" w:rsidR="00192191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  <w:u w:val="single"/>
        </w:rPr>
      </w:pPr>
      <w:r w:rsidRPr="00BD5CCF">
        <w:rPr>
          <w:rFonts w:ascii="標楷體" w:eastAsia="標楷體" w:hAnsi="標楷體" w:hint="eastAsia"/>
          <w:sz w:val="26"/>
          <w:szCs w:val="26"/>
        </w:rPr>
        <w:t>聯絡電話：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 xml:space="preserve"> E-m</w:t>
      </w:r>
      <w:r w:rsidR="00BD5CCF" w:rsidRPr="00BD5CCF">
        <w:rPr>
          <w:rFonts w:ascii="標楷體" w:eastAsia="標楷體" w:hAnsi="標楷體"/>
          <w:sz w:val="26"/>
          <w:szCs w:val="26"/>
        </w:rPr>
        <w:t>ail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>：</w:t>
      </w:r>
      <w:r w:rsidR="00BD5CCF"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  <w:r w:rsidR="00BD5CCF"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14:paraId="3F00B611" w14:textId="7B7C80B4" w:rsidR="006C33D7" w:rsidRPr="006C33D7" w:rsidRDefault="006C33D7" w:rsidP="00192191">
      <w:pPr>
        <w:spacing w:before="240"/>
        <w:ind w:firstLineChars="100" w:firstLine="200"/>
        <w:rPr>
          <w:rFonts w:ascii="標楷體" w:eastAsia="標楷體" w:hAnsi="標楷體"/>
          <w:sz w:val="20"/>
          <w:szCs w:val="20"/>
        </w:rPr>
      </w:pPr>
      <w:r w:rsidRPr="006C33D7">
        <w:rPr>
          <w:rFonts w:ascii="標楷體" w:eastAsia="標楷體" w:hAnsi="標楷體" w:hint="eastAsia"/>
          <w:sz w:val="20"/>
          <w:szCs w:val="20"/>
        </w:rPr>
        <w:t>※以下問題內容若無則免填</w:t>
      </w:r>
    </w:p>
    <w:p w14:paraId="2172477D" w14:textId="28DD5A15" w:rsidR="00BD5CCF" w:rsidRDefault="00BD5CCF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BD5CCF">
        <w:rPr>
          <w:rFonts w:ascii="標楷體" w:eastAsia="標楷體" w:hAnsi="標楷體" w:hint="eastAsia"/>
          <w:sz w:val="26"/>
          <w:szCs w:val="26"/>
        </w:rPr>
        <w:t>是否位於自來水水質水量保護區：</w:t>
      </w:r>
    </w:p>
    <w:p w14:paraId="4ED5991E" w14:textId="48BAE473" w:rsidR="00BD5CCF" w:rsidRDefault="00BD5CCF" w:rsidP="00BD5CCF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□是，保護區名稱：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</w:p>
    <w:p w14:paraId="055C179F" w14:textId="572CD550" w:rsidR="00D6145D" w:rsidRDefault="00BD5CCF" w:rsidP="00BD5CCF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□否</w:t>
      </w:r>
    </w:p>
    <w:p w14:paraId="6E003E31" w14:textId="77777777" w:rsidR="00D6145D" w:rsidRDefault="00D6145D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1264B71A" w14:textId="6E933F1E" w:rsidR="00BD5CCF" w:rsidRDefault="00BD5CCF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廠區面積</w:t>
      </w:r>
      <w:r w:rsidRPr="00BD5CCF">
        <w:rPr>
          <w:rFonts w:ascii="標楷體" w:eastAsia="標楷體" w:hAnsi="標楷體" w:hint="eastAsia"/>
          <w:sz w:val="26"/>
          <w:szCs w:val="26"/>
        </w:rPr>
        <w:t>：</w:t>
      </w:r>
    </w:p>
    <w:p w14:paraId="21E95511" w14:textId="1486DD99" w:rsidR="00BD5CCF" w:rsidRDefault="00BD5CCF" w:rsidP="00BD5CCF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</w:t>
      </w:r>
      <w:r w:rsidR="00391E10">
        <w:rPr>
          <w:rFonts w:ascii="標楷體" w:eastAsia="標楷體" w:hAnsi="標楷體" w:hint="eastAsia"/>
          <w:sz w:val="26"/>
          <w:szCs w:val="26"/>
        </w:rPr>
        <w:t>總占地面積</w:t>
      </w:r>
      <w:r w:rsidR="00391E10" w:rsidRPr="00BD5CCF">
        <w:rPr>
          <w:rFonts w:ascii="標楷體" w:eastAsia="標楷體" w:hAnsi="標楷體" w:hint="eastAsia"/>
          <w:sz w:val="26"/>
          <w:szCs w:val="26"/>
        </w:rPr>
        <w:t>：</w:t>
      </w:r>
      <w:r w:rsidR="00391E10"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="00391E10" w:rsidRPr="00391E10">
        <w:rPr>
          <w:rFonts w:ascii="標楷體" w:eastAsia="標楷體" w:hAnsi="標楷體" w:hint="eastAsia"/>
          <w:sz w:val="26"/>
          <w:szCs w:val="26"/>
        </w:rPr>
        <w:t>公頃</w:t>
      </w:r>
    </w:p>
    <w:p w14:paraId="14EFE018" w14:textId="138FB124" w:rsidR="00391E10" w:rsidRDefault="00391E10" w:rsidP="00BD5CCF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(2)可供擴廠面積</w:t>
      </w:r>
    </w:p>
    <w:p w14:paraId="0A8B80D5" w14:textId="3F7C0315" w:rsidR="00391E10" w:rsidRDefault="00391E10" w:rsidP="00391E10">
      <w:pPr>
        <w:pStyle w:val="a3"/>
        <w:spacing w:before="240"/>
        <w:ind w:leftChars="0" w:left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□有足夠空間進行擴廠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Pr="00391E10">
        <w:rPr>
          <w:rFonts w:ascii="標楷體" w:eastAsia="標楷體" w:hAnsi="標楷體" w:hint="eastAsia"/>
          <w:sz w:val="26"/>
          <w:szCs w:val="26"/>
        </w:rPr>
        <w:t>公頃</w:t>
      </w:r>
    </w:p>
    <w:p w14:paraId="138F0A7C" w14:textId="13E83A1E" w:rsidR="00391E10" w:rsidRDefault="00391E10" w:rsidP="00391E10">
      <w:pPr>
        <w:pStyle w:val="a3"/>
        <w:spacing w:before="240"/>
        <w:ind w:leftChars="0" w:left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□廠內空間不足，可覓得鄰近周遭之土地</w:t>
      </w:r>
    </w:p>
    <w:p w14:paraId="4F0A4F03" w14:textId="44DAE379" w:rsidR="00391E10" w:rsidRDefault="00391E10" w:rsidP="00391E10">
      <w:pPr>
        <w:pStyle w:val="a3"/>
        <w:spacing w:before="240"/>
        <w:ind w:leftChars="0" w:left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□鄰近已完全無建設空間</w:t>
      </w:r>
    </w:p>
    <w:p w14:paraId="1C556EAD" w14:textId="4E55DAC6" w:rsidR="006C33D7" w:rsidRPr="006C33D7" w:rsidRDefault="006C33D7" w:rsidP="00D6145D">
      <w:pPr>
        <w:ind w:leftChars="354" w:left="850" w:firstLineChars="100" w:firstLine="200"/>
        <w:rPr>
          <w:rFonts w:ascii="標楷體" w:eastAsia="標楷體" w:hAnsi="標楷體"/>
          <w:sz w:val="20"/>
          <w:szCs w:val="20"/>
          <w:shd w:val="pct15" w:color="auto" w:fill="FFFFFF"/>
        </w:rPr>
      </w:pPr>
      <w:r w:rsidRPr="006C33D7">
        <w:rPr>
          <w:rFonts w:ascii="標楷體" w:eastAsia="標楷體" w:hAnsi="標楷體" w:hint="eastAsia"/>
          <w:sz w:val="20"/>
          <w:szCs w:val="20"/>
          <w:shd w:val="pct15" w:color="auto" w:fill="FFFFFF"/>
        </w:rPr>
        <w:t>※註：可供擴廠面積為公共污水處理場建設計畫外的可用地面積</w:t>
      </w:r>
    </w:p>
    <w:p w14:paraId="50234267" w14:textId="0ACD96DC" w:rsidR="00BD5CCF" w:rsidRDefault="00BD5CCF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公共污水處理廠建設計畫：</w:t>
      </w:r>
    </w:p>
    <w:p w14:paraId="0C212069" w14:textId="47F26E87" w:rsidR="00F8431B" w:rsidRDefault="00F8431B" w:rsidP="00D6145D">
      <w:pPr>
        <w:pStyle w:val="a3"/>
        <w:spacing w:before="240" w:after="240"/>
        <w:ind w:leftChars="0" w:left="620"/>
        <w:rPr>
          <w:rFonts w:ascii="標楷體" w:eastAsia="標楷體" w:hAnsi="標楷體"/>
          <w:sz w:val="26"/>
          <w:szCs w:val="26"/>
        </w:rPr>
      </w:pPr>
      <w:r w:rsidRPr="00D6145D">
        <w:rPr>
          <w:rFonts w:ascii="標楷體" w:eastAsia="標楷體" w:hAnsi="標楷體" w:hint="eastAsia"/>
          <w:b/>
          <w:bCs/>
          <w:sz w:val="26"/>
          <w:szCs w:val="26"/>
        </w:rPr>
        <w:t>110年度平均</w:t>
      </w:r>
      <w:r>
        <w:rPr>
          <w:rFonts w:ascii="標楷體" w:eastAsia="標楷體" w:hAnsi="標楷體" w:hint="eastAsia"/>
          <w:sz w:val="26"/>
          <w:szCs w:val="26"/>
        </w:rPr>
        <w:t>放流水量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hint="eastAsia"/>
          <w:sz w:val="26"/>
          <w:szCs w:val="26"/>
        </w:rPr>
        <w:t>噸/日</w:t>
      </w:r>
    </w:p>
    <w:tbl>
      <w:tblPr>
        <w:tblStyle w:val="a4"/>
        <w:tblW w:w="8306" w:type="dxa"/>
        <w:tblInd w:w="620" w:type="dxa"/>
        <w:tblLook w:val="04A0" w:firstRow="1" w:lastRow="0" w:firstColumn="1" w:lastColumn="0" w:noHBand="0" w:noVBand="1"/>
      </w:tblPr>
      <w:tblGrid>
        <w:gridCol w:w="1502"/>
        <w:gridCol w:w="3402"/>
        <w:gridCol w:w="3402"/>
      </w:tblGrid>
      <w:tr w:rsidR="00F8431B" w14:paraId="3D9C30E9" w14:textId="77777777" w:rsidTr="00D6145D">
        <w:trPr>
          <w:trHeight w:val="429"/>
        </w:trPr>
        <w:tc>
          <w:tcPr>
            <w:tcW w:w="1502" w:type="dxa"/>
            <w:shd w:val="clear" w:color="auto" w:fill="D0CECE" w:themeFill="background2" w:themeFillShade="E6"/>
            <w:vAlign w:val="center"/>
          </w:tcPr>
          <w:p w14:paraId="3F915598" w14:textId="7F23F25F" w:rsidR="00F8431B" w:rsidRPr="00D6145D" w:rsidRDefault="00F8431B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建設期程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58D70C0" w14:textId="45474A0F" w:rsidR="00F8431B" w:rsidRPr="00D6145D" w:rsidRDefault="00F8431B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設計平均日處理量(噸/日)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5E2B48FE" w14:textId="3297C563" w:rsidR="00F8431B" w:rsidRPr="00D6145D" w:rsidRDefault="00F8431B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已完工/規劃完工期程</w:t>
            </w:r>
          </w:p>
        </w:tc>
      </w:tr>
      <w:tr w:rsidR="00F8431B" w14:paraId="66628807" w14:textId="77777777" w:rsidTr="00D6145D">
        <w:tc>
          <w:tcPr>
            <w:tcW w:w="1502" w:type="dxa"/>
            <w:vAlign w:val="center"/>
          </w:tcPr>
          <w:p w14:paraId="2C0D1F0E" w14:textId="3E0A1798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第一期</w:t>
            </w:r>
          </w:p>
        </w:tc>
        <w:tc>
          <w:tcPr>
            <w:tcW w:w="3402" w:type="dxa"/>
            <w:vAlign w:val="center"/>
          </w:tcPr>
          <w:p w14:paraId="0E6D2FB6" w14:textId="77777777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DCC0182" w14:textId="6A45A9A3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Pr="001921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1921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F8431B" w14:paraId="48B48F92" w14:textId="77777777" w:rsidTr="00D6145D">
        <w:tc>
          <w:tcPr>
            <w:tcW w:w="1502" w:type="dxa"/>
            <w:vAlign w:val="center"/>
          </w:tcPr>
          <w:p w14:paraId="6D097066" w14:textId="20A7EF21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第二期</w:t>
            </w:r>
          </w:p>
        </w:tc>
        <w:tc>
          <w:tcPr>
            <w:tcW w:w="3402" w:type="dxa"/>
            <w:vAlign w:val="center"/>
          </w:tcPr>
          <w:p w14:paraId="1E29DC90" w14:textId="77777777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6FF3C2E" w14:textId="65089330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F8431B" w14:paraId="2BB08489" w14:textId="77777777" w:rsidTr="00D6145D">
        <w:tc>
          <w:tcPr>
            <w:tcW w:w="1502" w:type="dxa"/>
            <w:vAlign w:val="center"/>
          </w:tcPr>
          <w:p w14:paraId="51F4AC3B" w14:textId="430C52D2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第三期</w:t>
            </w:r>
          </w:p>
        </w:tc>
        <w:tc>
          <w:tcPr>
            <w:tcW w:w="3402" w:type="dxa"/>
            <w:vAlign w:val="center"/>
          </w:tcPr>
          <w:p w14:paraId="32802542" w14:textId="77777777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92215F0" w14:textId="150372CE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F8431B" w14:paraId="216AA3F6" w14:textId="77777777" w:rsidTr="00D6145D">
        <w:tc>
          <w:tcPr>
            <w:tcW w:w="1502" w:type="dxa"/>
            <w:vAlign w:val="center"/>
          </w:tcPr>
          <w:p w14:paraId="2DD9486C" w14:textId="38C46DBF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第四期</w:t>
            </w:r>
          </w:p>
        </w:tc>
        <w:tc>
          <w:tcPr>
            <w:tcW w:w="3402" w:type="dxa"/>
            <w:vAlign w:val="center"/>
          </w:tcPr>
          <w:p w14:paraId="03BC2A1C" w14:textId="77777777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4A82399" w14:textId="4057FE8F" w:rsidR="00F8431B" w:rsidRDefault="00F8431B" w:rsidP="00D6145D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422F9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</w:tbl>
    <w:p w14:paraId="34807B7B" w14:textId="073C6DE5" w:rsidR="00F8431B" w:rsidRPr="00F8431B" w:rsidRDefault="00F8431B" w:rsidP="00F8431B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註：上表如不敷使用，請自行增加</w:t>
      </w:r>
    </w:p>
    <w:p w14:paraId="49B90B33" w14:textId="4C0B1375" w:rsidR="00391E10" w:rsidRDefault="00803780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110年</w:t>
      </w:r>
      <w:r w:rsidR="00391E10">
        <w:rPr>
          <w:rFonts w:ascii="標楷體" w:eastAsia="標楷體" w:hAnsi="標楷體" w:hint="eastAsia"/>
          <w:sz w:val="26"/>
          <w:szCs w:val="26"/>
        </w:rPr>
        <w:t>各廢污水來源及平均水量</w:t>
      </w:r>
      <w:r w:rsidR="00F8431B">
        <w:rPr>
          <w:rFonts w:ascii="標楷體" w:eastAsia="標楷體" w:hAnsi="標楷體" w:hint="eastAsia"/>
          <w:sz w:val="26"/>
          <w:szCs w:val="26"/>
        </w:rPr>
        <w:t>：</w:t>
      </w:r>
    </w:p>
    <w:p w14:paraId="40E6D892" w14:textId="4E80EA1D" w:rsidR="002748CE" w:rsidRDefault="002748CE" w:rsidP="002748CE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(1)納管生活污水量</w:t>
      </w:r>
      <w:r w:rsidRPr="00BD5CCF">
        <w:rPr>
          <w:rFonts w:ascii="標楷體" w:eastAsia="標楷體" w:hAnsi="標楷體" w:hint="eastAsia"/>
          <w:sz w:val="26"/>
          <w:szCs w:val="26"/>
        </w:rPr>
        <w:t>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>噸/日，或占總處理量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>%</w:t>
      </w:r>
    </w:p>
    <w:p w14:paraId="62D7E24A" w14:textId="75D91E32" w:rsidR="002748CE" w:rsidRDefault="002748CE" w:rsidP="002748CE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(2)截流污水量</w:t>
      </w:r>
      <w:r w:rsidRPr="00BD5CCF">
        <w:rPr>
          <w:rFonts w:ascii="標楷體" w:eastAsia="標楷體" w:hAnsi="標楷體" w:hint="eastAsia"/>
          <w:sz w:val="26"/>
          <w:szCs w:val="26"/>
        </w:rPr>
        <w:t>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>噸/日，或占總處理量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>%</w:t>
      </w:r>
    </w:p>
    <w:p w14:paraId="0FB2294B" w14:textId="17219F38" w:rsidR="002748CE" w:rsidRPr="002748CE" w:rsidRDefault="002748CE" w:rsidP="002748CE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(3)納管工業廢水量</w:t>
      </w:r>
      <w:r w:rsidRPr="00BD5CCF">
        <w:rPr>
          <w:rFonts w:ascii="標楷體" w:eastAsia="標楷體" w:hAnsi="標楷體" w:hint="eastAsia"/>
          <w:sz w:val="26"/>
          <w:szCs w:val="26"/>
        </w:rPr>
        <w:t>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>噸/日，或占總處理量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>%</w:t>
      </w:r>
    </w:p>
    <w:p w14:paraId="48905C41" w14:textId="76F0EBEF" w:rsidR="002748CE" w:rsidRDefault="002748CE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初級處理主要單元(可複選)：</w:t>
      </w:r>
    </w:p>
    <w:p w14:paraId="13983A4B" w14:textId="50D4F6F6" w:rsidR="002748CE" w:rsidRDefault="002748CE" w:rsidP="002748CE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□沉砂池       □初沉池       □粗攔污柵       □細攔污柵</w:t>
      </w:r>
    </w:p>
    <w:p w14:paraId="54CBACCE" w14:textId="6EEF902A" w:rsidR="00D6145D" w:rsidRDefault="00A00E52" w:rsidP="00F06AC9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□油脂分離     □加壓浮除     □其他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</w:t>
      </w:r>
      <w:r w:rsidR="00F06AC9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p w14:paraId="32A59DDE" w14:textId="77777777" w:rsidR="00F06AC9" w:rsidRDefault="00F06AC9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315236B9" w14:textId="777A874D" w:rsidR="002748CE" w:rsidRDefault="002748CE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二級處理主要單元(可複選)：</w:t>
      </w:r>
    </w:p>
    <w:p w14:paraId="1C4F74B9" w14:textId="77777777" w:rsidR="008C3549" w:rsidRDefault="00A00E52" w:rsidP="00D6145D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□不具除氮或除磷功能之活性污泥法 □具除氮或除磷功能之活性污泥法</w:t>
      </w:r>
    </w:p>
    <w:p w14:paraId="33360324" w14:textId="413B5598" w:rsidR="00A00E52" w:rsidRDefault="00A00E52" w:rsidP="008C3549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□接觸曝氣     □氧化渠       □</w:t>
      </w:r>
      <w:r w:rsidR="008C3549">
        <w:rPr>
          <w:rFonts w:ascii="標楷體" w:eastAsia="標楷體" w:hAnsi="標楷體" w:hint="eastAsia"/>
          <w:sz w:val="26"/>
          <w:szCs w:val="26"/>
        </w:rPr>
        <w:t>薄膜生物反應器(MBR)</w:t>
      </w:r>
    </w:p>
    <w:p w14:paraId="1BAD6742" w14:textId="5A828107" w:rsidR="008C3549" w:rsidRDefault="008C3549" w:rsidP="00A00E52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□其他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</w:p>
    <w:p w14:paraId="535A2344" w14:textId="54B3D057" w:rsidR="00A00E52" w:rsidRDefault="00A00E52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三級處理主要單元(可複選)：</w:t>
      </w:r>
    </w:p>
    <w:p w14:paraId="049695CF" w14:textId="09E34090" w:rsidR="008C3549" w:rsidRDefault="008C3549" w:rsidP="008C3549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□混凝沉澱     □纖維過濾     □砂濾      </w:t>
      </w:r>
      <w:r w:rsidR="006674D4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□活性碳吸附</w:t>
      </w:r>
    </w:p>
    <w:p w14:paraId="114C8881" w14:textId="2376B4C4" w:rsidR="008C3549" w:rsidRPr="006674D4" w:rsidRDefault="006674D4" w:rsidP="006674D4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□臭氧氧化     □其他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</w:p>
    <w:p w14:paraId="7AA05037" w14:textId="71D4800C" w:rsidR="008C3549" w:rsidRDefault="008C3549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消毒處理：</w:t>
      </w:r>
    </w:p>
    <w:p w14:paraId="0041356A" w14:textId="55DA5A4A" w:rsidR="006674D4" w:rsidRDefault="006674D4" w:rsidP="006674D4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□加氯消毒     □UV消毒       □臭氧消毒</w:t>
      </w:r>
    </w:p>
    <w:p w14:paraId="34C6B59B" w14:textId="4631C44A" w:rsidR="00754518" w:rsidRDefault="00754518" w:rsidP="006674D4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□其他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</w:p>
    <w:p w14:paraId="7F8EBEBE" w14:textId="301E08DB" w:rsidR="006674D4" w:rsidRDefault="006674D4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污泥處理：</w:t>
      </w:r>
    </w:p>
    <w:p w14:paraId="0B4683E4" w14:textId="27077BC0" w:rsidR="00754518" w:rsidRDefault="00754518" w:rsidP="00754518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(1)主要單元(可複選)</w:t>
      </w:r>
      <w:r w:rsidRPr="00BD5CCF">
        <w:rPr>
          <w:rFonts w:ascii="標楷體" w:eastAsia="標楷體" w:hAnsi="標楷體" w:hint="eastAsia"/>
          <w:sz w:val="26"/>
          <w:szCs w:val="26"/>
        </w:rPr>
        <w:t>：</w:t>
      </w:r>
    </w:p>
    <w:p w14:paraId="1982B5DB" w14:textId="441BCEC8" w:rsidR="00754518" w:rsidRPr="00754518" w:rsidRDefault="00754518" w:rsidP="00754518">
      <w:pPr>
        <w:pStyle w:val="a3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□濃縮   □厭氧消化(產出沼氣用途：□直接燃燒□加熱□發電□其他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14:paraId="27268C70" w14:textId="281926C5" w:rsidR="00754518" w:rsidRDefault="00754518" w:rsidP="00754518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□濕式氧化   </w:t>
      </w:r>
      <w:r w:rsidR="00EF33C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□好氧消化       □</w:t>
      </w:r>
      <w:r w:rsidR="00EF33CA">
        <w:rPr>
          <w:rFonts w:ascii="標楷體" w:eastAsia="標楷體" w:hAnsi="標楷體" w:hint="eastAsia"/>
          <w:sz w:val="26"/>
          <w:szCs w:val="26"/>
        </w:rPr>
        <w:t>機械脫水        □曬乾床</w:t>
      </w:r>
    </w:p>
    <w:p w14:paraId="3EF9F306" w14:textId="4FB252CB" w:rsidR="00D6145D" w:rsidRDefault="00EF33CA" w:rsidP="00F06AC9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□乾燥機         □其他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F06AC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</w:t>
      </w:r>
    </w:p>
    <w:p w14:paraId="4C3B8F75" w14:textId="77777777" w:rsidR="00F06AC9" w:rsidRDefault="00F06AC9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16C8E450" w14:textId="071F0626" w:rsidR="00754518" w:rsidRDefault="00754518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放流水是否回收再利用</w:t>
      </w:r>
    </w:p>
    <w:p w14:paraId="50F1BF6F" w14:textId="5B36A07C" w:rsidR="006C33D7" w:rsidRDefault="006C33D7" w:rsidP="006C33D7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□否</w:t>
      </w:r>
    </w:p>
    <w:p w14:paraId="7E79B815" w14:textId="08D0AD57" w:rsidR="006C33D7" w:rsidRDefault="006C33D7" w:rsidP="006C33D7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□是</w:t>
      </w:r>
    </w:p>
    <w:tbl>
      <w:tblPr>
        <w:tblStyle w:val="a4"/>
        <w:tblW w:w="0" w:type="auto"/>
        <w:tblInd w:w="620" w:type="dxa"/>
        <w:tblLook w:val="04A0" w:firstRow="1" w:lastRow="0" w:firstColumn="1" w:lastColumn="0" w:noHBand="0" w:noVBand="1"/>
      </w:tblPr>
      <w:tblGrid>
        <w:gridCol w:w="2210"/>
        <w:gridCol w:w="1418"/>
        <w:gridCol w:w="2551"/>
        <w:gridCol w:w="1560"/>
        <w:gridCol w:w="1553"/>
      </w:tblGrid>
      <w:tr w:rsidR="00D6145D" w14:paraId="0A645D53" w14:textId="77777777" w:rsidTr="00D6145D">
        <w:tc>
          <w:tcPr>
            <w:tcW w:w="2210" w:type="dxa"/>
            <w:shd w:val="clear" w:color="auto" w:fill="D0CECE" w:themeFill="background2" w:themeFillShade="E6"/>
            <w:vAlign w:val="center"/>
          </w:tcPr>
          <w:p w14:paraId="5DE9D45A" w14:textId="5C53B21F" w:rsidR="006C33D7" w:rsidRPr="00D6145D" w:rsidRDefault="006C33D7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水質淨化處理程序(可複選)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6E846F36" w14:textId="5293F2A8" w:rsidR="006C33D7" w:rsidRPr="00D6145D" w:rsidRDefault="006C33D7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回收再利用情形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69AB67BF" w14:textId="3B6D90CF" w:rsidR="006C33D7" w:rsidRPr="00D6145D" w:rsidRDefault="006C33D7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用途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FB7F169" w14:textId="665173CF" w:rsidR="006C33D7" w:rsidRPr="00D6145D" w:rsidRDefault="006C33D7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平均再利用量(噸/日)</w:t>
            </w:r>
          </w:p>
        </w:tc>
        <w:tc>
          <w:tcPr>
            <w:tcW w:w="1553" w:type="dxa"/>
            <w:shd w:val="clear" w:color="auto" w:fill="D0CECE" w:themeFill="background2" w:themeFillShade="E6"/>
            <w:vAlign w:val="center"/>
          </w:tcPr>
          <w:p w14:paraId="7EB53FFA" w14:textId="2110E925" w:rsidR="006C33D7" w:rsidRPr="00D6145D" w:rsidRDefault="006C33D7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vertAlign w:val="superscript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計量方式</w:t>
            </w:r>
            <w:r w:rsidRPr="00D6145D">
              <w:rPr>
                <w:rFonts w:ascii="標楷體" w:eastAsia="標楷體" w:hAnsi="標楷體" w:hint="eastAsia"/>
                <w:b/>
                <w:bCs/>
                <w:sz w:val="32"/>
                <w:szCs w:val="32"/>
                <w:vertAlign w:val="superscript"/>
              </w:rPr>
              <w:t>註1</w:t>
            </w:r>
          </w:p>
        </w:tc>
      </w:tr>
      <w:tr w:rsidR="006C33D7" w14:paraId="35D9FC9C" w14:textId="77777777" w:rsidTr="00D6145D">
        <w:tc>
          <w:tcPr>
            <w:tcW w:w="2210" w:type="dxa"/>
            <w:vMerge w:val="restart"/>
            <w:vAlign w:val="center"/>
          </w:tcPr>
          <w:p w14:paraId="3714F9D9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□無</w:t>
            </w:r>
          </w:p>
          <w:p w14:paraId="79DC0552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□離子交換</w:t>
            </w:r>
          </w:p>
          <w:p w14:paraId="126463B7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□超過濾(UF)</w:t>
            </w:r>
          </w:p>
          <w:p w14:paraId="611C7E1B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□逆滲透(RO)</w:t>
            </w:r>
          </w:p>
          <w:p w14:paraId="25AB967A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□奈濾(NF)</w:t>
            </w:r>
          </w:p>
          <w:p w14:paraId="687ADBF7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□電透析法(EDR)</w:t>
            </w:r>
          </w:p>
          <w:p w14:paraId="475CE43C" w14:textId="5154B730" w:rsidR="006C33D7" w:rsidRP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1418" w:type="dxa"/>
            <w:vAlign w:val="center"/>
          </w:tcPr>
          <w:p w14:paraId="51ACBCA5" w14:textId="6AD1B16E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□廠內回收再利用</w:t>
            </w:r>
          </w:p>
        </w:tc>
        <w:tc>
          <w:tcPr>
            <w:tcW w:w="2551" w:type="dxa"/>
            <w:vAlign w:val="center"/>
          </w:tcPr>
          <w:p w14:paraId="3C62D353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□景觀澆灌</w:t>
            </w:r>
          </w:p>
          <w:p w14:paraId="3BC897CD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□設備清洗</w:t>
            </w:r>
          </w:p>
          <w:p w14:paraId="779DB425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□生態池補注</w:t>
            </w:r>
          </w:p>
          <w:p w14:paraId="4DB9C388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□沖廁使用</w:t>
            </w:r>
          </w:p>
          <w:p w14:paraId="6ACDE087" w14:textId="3C643A7B" w:rsidR="006C33D7" w:rsidRP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1560" w:type="dxa"/>
          </w:tcPr>
          <w:p w14:paraId="772B8C08" w14:textId="77777777" w:rsidR="006C33D7" w:rsidRDefault="006C33D7" w:rsidP="00D614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3" w:type="dxa"/>
          </w:tcPr>
          <w:p w14:paraId="5CA80BCF" w14:textId="77777777" w:rsidR="006C33D7" w:rsidRDefault="006C33D7" w:rsidP="00D614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33D7" w14:paraId="6EC6163D" w14:textId="77777777" w:rsidTr="00D6145D">
        <w:tc>
          <w:tcPr>
            <w:tcW w:w="2210" w:type="dxa"/>
            <w:vMerge/>
            <w:vAlign w:val="center"/>
          </w:tcPr>
          <w:p w14:paraId="06BCC28B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280081E" w14:textId="5C409521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□供外部單位使用</w:t>
            </w:r>
          </w:p>
        </w:tc>
        <w:tc>
          <w:tcPr>
            <w:tcW w:w="2551" w:type="dxa"/>
            <w:vAlign w:val="center"/>
          </w:tcPr>
          <w:p w14:paraId="3AC43166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□景觀澆灌</w:t>
            </w:r>
          </w:p>
          <w:p w14:paraId="749E312D" w14:textId="77777777" w:rsidR="006C33D7" w:rsidRDefault="006C33D7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□街道灑掃</w:t>
            </w:r>
          </w:p>
          <w:p w14:paraId="4368CC6C" w14:textId="77777777" w:rsidR="00D90424" w:rsidRDefault="00D90424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□工地清洗</w:t>
            </w:r>
          </w:p>
          <w:p w14:paraId="065E19E3" w14:textId="77777777" w:rsidR="00D90424" w:rsidRDefault="00D90424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□供應區內廠商使用</w:t>
            </w:r>
          </w:p>
          <w:p w14:paraId="54C43486" w14:textId="2F8A924F" w:rsidR="00D90424" w:rsidRPr="00D90424" w:rsidRDefault="00D90424" w:rsidP="00D614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1560" w:type="dxa"/>
          </w:tcPr>
          <w:p w14:paraId="061FD96A" w14:textId="77777777" w:rsidR="006C33D7" w:rsidRDefault="006C33D7" w:rsidP="00D614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3" w:type="dxa"/>
          </w:tcPr>
          <w:p w14:paraId="0EE47E18" w14:textId="77777777" w:rsidR="006C33D7" w:rsidRDefault="006C33D7" w:rsidP="00D6145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76D0381" w14:textId="0165C088" w:rsidR="00D90424" w:rsidRPr="00F8431B" w:rsidRDefault="00D90424" w:rsidP="00D90424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</w:t>
      </w:r>
      <w:r>
        <w:rPr>
          <w:rFonts w:ascii="標楷體" w:eastAsia="標楷體" w:hAnsi="標楷體" w:hint="eastAsia"/>
          <w:sz w:val="22"/>
          <w:shd w:val="pct15" w:color="auto" w:fill="FFFFFF"/>
        </w:rPr>
        <w:t>1</w:t>
      </w:r>
      <w:r w:rsidRPr="00F8431B">
        <w:rPr>
          <w:rFonts w:ascii="標楷體" w:eastAsia="標楷體" w:hAnsi="標楷體" w:hint="eastAsia"/>
          <w:sz w:val="22"/>
          <w:shd w:val="pct15" w:color="auto" w:fill="FFFFFF"/>
        </w:rPr>
        <w:t>：</w:t>
      </w:r>
      <w:r>
        <w:rPr>
          <w:rFonts w:ascii="標楷體" w:eastAsia="標楷體" w:hAnsi="標楷體" w:hint="eastAsia"/>
          <w:sz w:val="22"/>
          <w:shd w:val="pct15" w:color="auto" w:fill="FFFFFF"/>
        </w:rPr>
        <w:t>計量方式：如流量計、估計值等</w:t>
      </w:r>
    </w:p>
    <w:p w14:paraId="3C2C3D3C" w14:textId="5ACDA70F" w:rsidR="00D90424" w:rsidRPr="00F8431B" w:rsidRDefault="00D90424" w:rsidP="00D90424">
      <w:pPr>
        <w:pStyle w:val="a3"/>
        <w:ind w:leftChars="257" w:left="1273" w:hangingChars="298" w:hanging="656"/>
        <w:rPr>
          <w:rFonts w:ascii="標楷體" w:eastAsia="標楷體" w:hAnsi="標楷體"/>
          <w:sz w:val="22"/>
          <w:shd w:val="pct15" w:color="auto" w:fill="FFFFFF"/>
        </w:rPr>
      </w:pPr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</w:t>
      </w:r>
      <w:r>
        <w:rPr>
          <w:rFonts w:ascii="標楷體" w:eastAsia="標楷體" w:hAnsi="標楷體" w:hint="eastAsia"/>
          <w:sz w:val="22"/>
          <w:shd w:val="pct15" w:color="auto" w:fill="FFFFFF"/>
        </w:rPr>
        <w:t>2</w:t>
      </w:r>
      <w:r w:rsidRPr="00F8431B">
        <w:rPr>
          <w:rFonts w:ascii="標楷體" w:eastAsia="標楷體" w:hAnsi="標楷體" w:hint="eastAsia"/>
          <w:sz w:val="22"/>
          <w:shd w:val="pct15" w:color="auto" w:fill="FFFFFF"/>
        </w:rPr>
        <w:t>：</w:t>
      </w:r>
      <w:r>
        <w:rPr>
          <w:rFonts w:ascii="標楷體" w:eastAsia="標楷體" w:hAnsi="標楷體" w:hint="eastAsia"/>
          <w:sz w:val="22"/>
          <w:shd w:val="pct15" w:color="auto" w:fill="FFFFFF"/>
        </w:rPr>
        <w:t>為利廠內廢水之質量平衡統計及追蹤，除進(放)流水及各處理單元外，廠內及提供給外部單位之放流水再利用，</w:t>
      </w:r>
      <w:r w:rsidR="009B342E">
        <w:rPr>
          <w:rFonts w:ascii="標楷體" w:eastAsia="標楷體" w:hAnsi="標楷體" w:hint="eastAsia"/>
          <w:sz w:val="22"/>
          <w:shd w:val="pct15" w:color="auto" w:fill="FFFFFF"/>
        </w:rPr>
        <w:t>亦</w:t>
      </w:r>
      <w:r>
        <w:rPr>
          <w:rFonts w:ascii="標楷體" w:eastAsia="標楷體" w:hAnsi="標楷體" w:hint="eastAsia"/>
          <w:sz w:val="22"/>
          <w:shd w:val="pct15" w:color="auto" w:fill="FFFFFF"/>
        </w:rPr>
        <w:t>應裝設流量計等計量設施進行統計。</w:t>
      </w:r>
    </w:p>
    <w:p w14:paraId="27C76D6D" w14:textId="602FD9A6" w:rsidR="00D90424" w:rsidRDefault="00D90424" w:rsidP="00D90424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請問貴廠進行放流水回收在利用時，是否曾面臨問題?</w:t>
      </w:r>
    </w:p>
    <w:p w14:paraId="7993280F" w14:textId="77777777" w:rsidR="00D90424" w:rsidRDefault="00D90424" w:rsidP="00D90424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□否</w:t>
      </w:r>
    </w:p>
    <w:p w14:paraId="1D74B1ED" w14:textId="675BC674" w:rsidR="00D90424" w:rsidRDefault="00D90424" w:rsidP="00D90424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□是(原因：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14:paraId="4058A651" w14:textId="77777777" w:rsidR="00D6145D" w:rsidRDefault="00D6145D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6367FEAF" w14:textId="15ED0154" w:rsidR="00D90424" w:rsidRDefault="00D90424" w:rsidP="00D90424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進放流水質(請填入</w:t>
      </w:r>
      <w:r w:rsidRPr="00D6145D">
        <w:rPr>
          <w:rFonts w:ascii="標楷體" w:eastAsia="標楷體" w:hAnsi="標楷體" w:hint="eastAsia"/>
          <w:b/>
          <w:bCs/>
          <w:sz w:val="26"/>
          <w:szCs w:val="26"/>
        </w:rPr>
        <w:t>最近一期定檢申報數據</w:t>
      </w:r>
      <w:r>
        <w:rPr>
          <w:rFonts w:ascii="標楷體" w:eastAsia="標楷體" w:hAnsi="標楷體" w:hint="eastAsia"/>
          <w:sz w:val="26"/>
          <w:szCs w:val="26"/>
        </w:rPr>
        <w:t>)：</w:t>
      </w:r>
      <w:r w:rsidRPr="00D90424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Pr="00D90424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月申報資料</w:t>
      </w:r>
    </w:p>
    <w:tbl>
      <w:tblPr>
        <w:tblStyle w:val="a4"/>
        <w:tblW w:w="0" w:type="auto"/>
        <w:tblInd w:w="620" w:type="dxa"/>
        <w:tblLook w:val="04A0" w:firstRow="1" w:lastRow="0" w:firstColumn="1" w:lastColumn="0" w:noHBand="0" w:noVBand="1"/>
      </w:tblPr>
      <w:tblGrid>
        <w:gridCol w:w="2338"/>
        <w:gridCol w:w="2344"/>
        <w:gridCol w:w="2305"/>
        <w:gridCol w:w="2305"/>
      </w:tblGrid>
      <w:tr w:rsidR="00D90424" w14:paraId="690E9B64" w14:textId="77777777" w:rsidTr="00D6145D">
        <w:tc>
          <w:tcPr>
            <w:tcW w:w="2338" w:type="dxa"/>
            <w:shd w:val="clear" w:color="auto" w:fill="D0CECE" w:themeFill="background2" w:themeFillShade="E6"/>
            <w:vAlign w:val="center"/>
          </w:tcPr>
          <w:p w14:paraId="5444B410" w14:textId="69704682" w:rsidR="00D90424" w:rsidRPr="00D6145D" w:rsidRDefault="00D90424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水質項目</w:t>
            </w:r>
          </w:p>
        </w:tc>
        <w:tc>
          <w:tcPr>
            <w:tcW w:w="2344" w:type="dxa"/>
            <w:shd w:val="clear" w:color="auto" w:fill="D0CECE" w:themeFill="background2" w:themeFillShade="E6"/>
            <w:vAlign w:val="center"/>
          </w:tcPr>
          <w:p w14:paraId="6ABCB76E" w14:textId="7676C4EB" w:rsidR="00D90424" w:rsidRPr="00D6145D" w:rsidRDefault="00D90424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單位</w:t>
            </w:r>
          </w:p>
        </w:tc>
        <w:tc>
          <w:tcPr>
            <w:tcW w:w="2305" w:type="dxa"/>
            <w:shd w:val="clear" w:color="auto" w:fill="D0CECE" w:themeFill="background2" w:themeFillShade="E6"/>
            <w:vAlign w:val="center"/>
          </w:tcPr>
          <w:p w14:paraId="64D5ED32" w14:textId="4BE746E4" w:rsidR="00D90424" w:rsidRPr="00D6145D" w:rsidRDefault="00D90424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進流水水質</w:t>
            </w:r>
          </w:p>
        </w:tc>
        <w:tc>
          <w:tcPr>
            <w:tcW w:w="2305" w:type="dxa"/>
            <w:shd w:val="clear" w:color="auto" w:fill="D0CECE" w:themeFill="background2" w:themeFillShade="E6"/>
            <w:vAlign w:val="center"/>
          </w:tcPr>
          <w:p w14:paraId="7DF98920" w14:textId="63FEB08A" w:rsidR="00D90424" w:rsidRPr="00D6145D" w:rsidRDefault="00D90424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放流水水質</w:t>
            </w:r>
          </w:p>
        </w:tc>
      </w:tr>
      <w:tr w:rsidR="00D90424" w14:paraId="532B7DDD" w14:textId="77777777" w:rsidTr="00D6145D">
        <w:tc>
          <w:tcPr>
            <w:tcW w:w="2338" w:type="dxa"/>
          </w:tcPr>
          <w:p w14:paraId="706C3473" w14:textId="1A1854AD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酸鹼值(</w:t>
            </w:r>
            <w:r>
              <w:rPr>
                <w:rFonts w:ascii="標楷體" w:eastAsia="標楷體" w:hAnsi="標楷體"/>
                <w:sz w:val="26"/>
                <w:szCs w:val="26"/>
              </w:rPr>
              <w:t>pH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344" w:type="dxa"/>
            <w:vAlign w:val="center"/>
          </w:tcPr>
          <w:p w14:paraId="022519EA" w14:textId="067A1818" w:rsidR="00D90424" w:rsidRDefault="00D90424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2305" w:type="dxa"/>
          </w:tcPr>
          <w:p w14:paraId="645FDC7B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4C9A368C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0424" w14:paraId="510269A6" w14:textId="77777777" w:rsidTr="00D6145D">
        <w:tc>
          <w:tcPr>
            <w:tcW w:w="2338" w:type="dxa"/>
          </w:tcPr>
          <w:p w14:paraId="46885B6E" w14:textId="00F74652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導電度</w:t>
            </w:r>
          </w:p>
        </w:tc>
        <w:tc>
          <w:tcPr>
            <w:tcW w:w="2344" w:type="dxa"/>
            <w:vAlign w:val="center"/>
          </w:tcPr>
          <w:p w14:paraId="7828641F" w14:textId="086AC122" w:rsidR="00D90424" w:rsidRDefault="006C6859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μ</w:t>
            </w:r>
            <w:r>
              <w:rPr>
                <w:rFonts w:ascii="Roboto" w:hAnsi="Roboto" w:hint="eastAsia"/>
                <w:color w:val="000000"/>
                <w:shd w:val="clear" w:color="auto" w:fill="FFFFFF"/>
              </w:rPr>
              <w:t>S/c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m</w:t>
            </w:r>
          </w:p>
        </w:tc>
        <w:tc>
          <w:tcPr>
            <w:tcW w:w="2305" w:type="dxa"/>
          </w:tcPr>
          <w:p w14:paraId="4095FF4F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557051E4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0424" w14:paraId="1294CD54" w14:textId="77777777" w:rsidTr="00D6145D">
        <w:tc>
          <w:tcPr>
            <w:tcW w:w="2338" w:type="dxa"/>
          </w:tcPr>
          <w:p w14:paraId="649BECA1" w14:textId="20B0565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懸浮固體(SS)</w:t>
            </w:r>
          </w:p>
        </w:tc>
        <w:tc>
          <w:tcPr>
            <w:tcW w:w="2344" w:type="dxa"/>
            <w:vAlign w:val="center"/>
          </w:tcPr>
          <w:p w14:paraId="4CD1C8D6" w14:textId="6DDA4AE7" w:rsidR="00D90424" w:rsidRDefault="006C6859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mg/L</w:t>
            </w:r>
          </w:p>
        </w:tc>
        <w:tc>
          <w:tcPr>
            <w:tcW w:w="2305" w:type="dxa"/>
          </w:tcPr>
          <w:p w14:paraId="2712863F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0CB4E3D3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6859" w14:paraId="2EE17135" w14:textId="77777777" w:rsidTr="00D6145D">
        <w:tc>
          <w:tcPr>
            <w:tcW w:w="2338" w:type="dxa"/>
          </w:tcPr>
          <w:p w14:paraId="7195C16A" w14:textId="66A92F16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生化需氧量(BOD)</w:t>
            </w:r>
          </w:p>
        </w:tc>
        <w:tc>
          <w:tcPr>
            <w:tcW w:w="2344" w:type="dxa"/>
            <w:vAlign w:val="center"/>
          </w:tcPr>
          <w:p w14:paraId="1929FEAA" w14:textId="016E091B" w:rsidR="006C6859" w:rsidRDefault="006C6859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DF0">
              <w:rPr>
                <w:rFonts w:ascii="標楷體" w:eastAsia="標楷體" w:hAnsi="標楷體"/>
                <w:sz w:val="26"/>
                <w:szCs w:val="26"/>
              </w:rPr>
              <w:t>mg/L</w:t>
            </w:r>
          </w:p>
        </w:tc>
        <w:tc>
          <w:tcPr>
            <w:tcW w:w="2305" w:type="dxa"/>
          </w:tcPr>
          <w:p w14:paraId="7B1B7CAC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688AC62C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6859" w14:paraId="177741A4" w14:textId="77777777" w:rsidTr="00D6145D">
        <w:tc>
          <w:tcPr>
            <w:tcW w:w="2338" w:type="dxa"/>
          </w:tcPr>
          <w:p w14:paraId="19C0D553" w14:textId="36596445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化學需氧量(</w:t>
            </w:r>
            <w:r>
              <w:rPr>
                <w:rFonts w:ascii="標楷體" w:eastAsia="標楷體" w:hAnsi="標楷體"/>
                <w:sz w:val="26"/>
                <w:szCs w:val="26"/>
              </w:rPr>
              <w:t>COD)</w:t>
            </w:r>
          </w:p>
        </w:tc>
        <w:tc>
          <w:tcPr>
            <w:tcW w:w="2344" w:type="dxa"/>
            <w:vAlign w:val="center"/>
          </w:tcPr>
          <w:p w14:paraId="15C4872E" w14:textId="756004CE" w:rsidR="006C6859" w:rsidRDefault="006C6859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DF0">
              <w:rPr>
                <w:rFonts w:ascii="標楷體" w:eastAsia="標楷體" w:hAnsi="標楷體"/>
                <w:sz w:val="26"/>
                <w:szCs w:val="26"/>
              </w:rPr>
              <w:t>mg/L</w:t>
            </w:r>
          </w:p>
        </w:tc>
        <w:tc>
          <w:tcPr>
            <w:tcW w:w="2305" w:type="dxa"/>
          </w:tcPr>
          <w:p w14:paraId="2F82A1C4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41849C91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6859" w14:paraId="45DC6AAD" w14:textId="77777777" w:rsidTr="00D6145D">
        <w:tc>
          <w:tcPr>
            <w:tcW w:w="2338" w:type="dxa"/>
          </w:tcPr>
          <w:p w14:paraId="551DF7AF" w14:textId="181F4F58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總氮</w:t>
            </w:r>
          </w:p>
        </w:tc>
        <w:tc>
          <w:tcPr>
            <w:tcW w:w="2344" w:type="dxa"/>
            <w:vAlign w:val="center"/>
          </w:tcPr>
          <w:p w14:paraId="79B3DCDF" w14:textId="7FA55549" w:rsidR="006C6859" w:rsidRDefault="006C6859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DF0">
              <w:rPr>
                <w:rFonts w:ascii="標楷體" w:eastAsia="標楷體" w:hAnsi="標楷體"/>
                <w:sz w:val="26"/>
                <w:szCs w:val="26"/>
              </w:rPr>
              <w:t>mg/L</w:t>
            </w:r>
          </w:p>
        </w:tc>
        <w:tc>
          <w:tcPr>
            <w:tcW w:w="2305" w:type="dxa"/>
          </w:tcPr>
          <w:p w14:paraId="042D5139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5991B512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6859" w14:paraId="2041043A" w14:textId="77777777" w:rsidTr="00D6145D">
        <w:tc>
          <w:tcPr>
            <w:tcW w:w="2338" w:type="dxa"/>
          </w:tcPr>
          <w:p w14:paraId="33F54158" w14:textId="0F6AB2F3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氨氮</w:t>
            </w:r>
          </w:p>
        </w:tc>
        <w:tc>
          <w:tcPr>
            <w:tcW w:w="2344" w:type="dxa"/>
            <w:vAlign w:val="center"/>
          </w:tcPr>
          <w:p w14:paraId="62D8A648" w14:textId="04C5C00B" w:rsidR="006C6859" w:rsidRDefault="006C6859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DF0">
              <w:rPr>
                <w:rFonts w:ascii="標楷體" w:eastAsia="標楷體" w:hAnsi="標楷體"/>
                <w:sz w:val="26"/>
                <w:szCs w:val="26"/>
              </w:rPr>
              <w:t>mg/L</w:t>
            </w:r>
          </w:p>
        </w:tc>
        <w:tc>
          <w:tcPr>
            <w:tcW w:w="2305" w:type="dxa"/>
          </w:tcPr>
          <w:p w14:paraId="2C7005C7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609A732A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6859" w14:paraId="28CA3390" w14:textId="77777777" w:rsidTr="00D6145D">
        <w:tc>
          <w:tcPr>
            <w:tcW w:w="2338" w:type="dxa"/>
          </w:tcPr>
          <w:p w14:paraId="093FD23C" w14:textId="2D9C16B1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總磷</w:t>
            </w:r>
          </w:p>
        </w:tc>
        <w:tc>
          <w:tcPr>
            <w:tcW w:w="2344" w:type="dxa"/>
            <w:vAlign w:val="center"/>
          </w:tcPr>
          <w:p w14:paraId="7070FB1F" w14:textId="3165167A" w:rsidR="006C6859" w:rsidRDefault="006C6859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DF0">
              <w:rPr>
                <w:rFonts w:ascii="標楷體" w:eastAsia="標楷體" w:hAnsi="標楷體"/>
                <w:sz w:val="26"/>
                <w:szCs w:val="26"/>
              </w:rPr>
              <w:t>mg/L</w:t>
            </w:r>
          </w:p>
        </w:tc>
        <w:tc>
          <w:tcPr>
            <w:tcW w:w="2305" w:type="dxa"/>
          </w:tcPr>
          <w:p w14:paraId="395EBE5C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02B9B10F" w14:textId="77777777" w:rsidR="006C6859" w:rsidRDefault="006C6859" w:rsidP="006C6859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0424" w14:paraId="57B1B7F7" w14:textId="77777777" w:rsidTr="00D6145D">
        <w:tc>
          <w:tcPr>
            <w:tcW w:w="2338" w:type="dxa"/>
          </w:tcPr>
          <w:p w14:paraId="008587DE" w14:textId="5E830429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大腸桿菌群</w:t>
            </w:r>
          </w:p>
        </w:tc>
        <w:tc>
          <w:tcPr>
            <w:tcW w:w="2344" w:type="dxa"/>
            <w:vAlign w:val="center"/>
          </w:tcPr>
          <w:p w14:paraId="1DB9FD6F" w14:textId="5D80F321" w:rsidR="00D90424" w:rsidRDefault="006C6859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>
              <w:rPr>
                <w:rFonts w:ascii="標楷體" w:eastAsia="標楷體" w:hAnsi="標楷體"/>
                <w:sz w:val="26"/>
                <w:szCs w:val="26"/>
              </w:rPr>
              <w:t>FU/100 mL</w:t>
            </w:r>
          </w:p>
        </w:tc>
        <w:tc>
          <w:tcPr>
            <w:tcW w:w="2305" w:type="dxa"/>
          </w:tcPr>
          <w:p w14:paraId="033C3E21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39283CD0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0424" w14:paraId="359B3440" w14:textId="77777777" w:rsidTr="00D6145D">
        <w:tc>
          <w:tcPr>
            <w:tcW w:w="2338" w:type="dxa"/>
          </w:tcPr>
          <w:p w14:paraId="09BB7518" w14:textId="6496295A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D9042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</w:p>
        </w:tc>
        <w:tc>
          <w:tcPr>
            <w:tcW w:w="2344" w:type="dxa"/>
            <w:vAlign w:val="center"/>
          </w:tcPr>
          <w:p w14:paraId="7787DB94" w14:textId="77777777" w:rsidR="00D90424" w:rsidRDefault="00D90424" w:rsidP="00D6145D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31FFB002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5" w:type="dxa"/>
          </w:tcPr>
          <w:p w14:paraId="390FFE4A" w14:textId="77777777" w:rsidR="00D90424" w:rsidRDefault="00D90424" w:rsidP="00D90424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CE46878" w14:textId="1D3D5E98" w:rsidR="006C6859" w:rsidRPr="00F8431B" w:rsidRDefault="006C6859" w:rsidP="006C6859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註：</w:t>
      </w:r>
      <w:r>
        <w:rPr>
          <w:rFonts w:ascii="標楷體" w:eastAsia="標楷體" w:hAnsi="標楷體" w:hint="eastAsia"/>
          <w:sz w:val="22"/>
          <w:shd w:val="pct15" w:color="auto" w:fill="FFFFFF"/>
        </w:rPr>
        <w:t>表格欄位可自行新增，或檢附進、放流水質申報影本。</w:t>
      </w:r>
    </w:p>
    <w:p w14:paraId="1DD59568" w14:textId="7BC17749" w:rsidR="006C33D7" w:rsidRPr="00D90424" w:rsidRDefault="00D6145D" w:rsidP="006C33D7">
      <w:pPr>
        <w:pStyle w:val="a3"/>
        <w:spacing w:before="240"/>
        <w:ind w:leftChars="0" w:left="6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A1CBC" wp14:editId="58A56B6A">
                <wp:simplePos x="0" y="0"/>
                <wp:positionH relativeFrom="column">
                  <wp:posOffset>798195</wp:posOffset>
                </wp:positionH>
                <wp:positionV relativeFrom="paragraph">
                  <wp:posOffset>295276</wp:posOffset>
                </wp:positionV>
                <wp:extent cx="5391150" cy="1238250"/>
                <wp:effectExtent l="0" t="0" r="19050" b="19050"/>
                <wp:wrapNone/>
                <wp:docPr id="2" name="框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238250"/>
                        </a:xfrm>
                        <a:prstGeom prst="frame">
                          <a:avLst>
                            <a:gd name="adj1" fmla="val 6365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75142" w14:textId="124064BE" w:rsidR="00D6145D" w:rsidRPr="008F406A" w:rsidRDefault="00D6145D" w:rsidP="008F406A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感謝您的填寫！請於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1</w:t>
                            </w:r>
                            <w:r w:rsidR="006C7159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11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年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7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月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31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日前回傳至財團法人環境與發展基金會</w:t>
                            </w:r>
                          </w:p>
                          <w:p w14:paraId="56DBCAF0" w14:textId="623D2597" w:rsidR="00D6145D" w:rsidRPr="008F406A" w:rsidRDefault="00D6145D" w:rsidP="008F406A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地址：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30011 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新竹市東區光復路二段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321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號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2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館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507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室</w:t>
                            </w:r>
                          </w:p>
                          <w:p w14:paraId="5ED7F18A" w14:textId="7243BDAD" w:rsidR="008F406A" w:rsidRPr="008F406A" w:rsidRDefault="008F406A" w:rsidP="008F406A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傳真：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(0</w:t>
                            </w:r>
                            <w:r w:rsidRPr="008F406A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3)5730580   E-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m</w:t>
                            </w:r>
                            <w:r w:rsidRPr="008F406A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ail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：</w:t>
                            </w:r>
                            <w:hyperlink r:id="rId9" w:history="1">
                              <w:r w:rsidRPr="008F406A">
                                <w:rPr>
                                  <w:rStyle w:val="a9"/>
                                  <w:rFonts w:ascii="Times New Roman" w:eastAsia="標楷體" w:hAnsi="Times New Roman" w:hint="eastAsia"/>
                                </w:rPr>
                                <w:t>c</w:t>
                              </w:r>
                              <w:r w:rsidRPr="008F406A">
                                <w:rPr>
                                  <w:rStyle w:val="a9"/>
                                  <w:rFonts w:ascii="Times New Roman" w:eastAsia="標楷體" w:hAnsi="Times New Roman"/>
                                </w:rPr>
                                <w:t>hiehying@edf.org.tw</w:t>
                              </w:r>
                            </w:hyperlink>
                          </w:p>
                          <w:p w14:paraId="496E4343" w14:textId="5C93173A" w:rsidR="008F406A" w:rsidRPr="008F406A" w:rsidRDefault="008F406A" w:rsidP="008F406A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如有任何問題請洽詢：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(0</w:t>
                            </w:r>
                            <w:r w:rsidRPr="008F406A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3)5730675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分機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13   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李杰穎副研究員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1CBC" id="框架 2" o:spid="_x0000_s1026" style="position:absolute;left:0;text-align:left;margin-left:62.85pt;margin-top:23.25pt;width:424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1150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" adj="-11796480,,5400" path="m,l5391150,r,1238250l,1238250,,xm78815,78815r,1080620l5312335,1159435r,-1080620l78815,78815xe" fillcolor="#70ad47 [3209]" strokecolor="#375623 [1609]" strokeweight="1pt">
                <v:stroke joinstyle="miter"/>
                <v:formulas/>
                <v:path arrowok="t" o:connecttype="custom" o:connectlocs="0,0;5391150,0;5391150,1238250;0,1238250;0,0;78815,78815;78815,1159435;5312335,1159435;5312335,78815;78815,78815" o:connectangles="0,0,0,0,0,0,0,0,0,0" textboxrect="0,0,5391150,1238250"/>
                <v:textbox>
                  <w:txbxContent>
                    <w:p w14:paraId="6A475142" w14:textId="124064BE" w:rsidR="00D6145D" w:rsidRPr="008F406A" w:rsidRDefault="00D6145D" w:rsidP="008F406A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感謝您的填寫！請於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1</w:t>
                      </w:r>
                      <w:r w:rsidR="006C7159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11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年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7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月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31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日前回傳至財團法人環境與發展基金會</w:t>
                      </w:r>
                    </w:p>
                    <w:p w14:paraId="56DBCAF0" w14:textId="623D2597" w:rsidR="00D6145D" w:rsidRPr="008F406A" w:rsidRDefault="00D6145D" w:rsidP="008F406A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地址：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 xml:space="preserve">30011 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新竹市東區光復路二段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321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號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2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館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507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室</w:t>
                      </w:r>
                    </w:p>
                    <w:p w14:paraId="5ED7F18A" w14:textId="7243BDAD" w:rsidR="008F406A" w:rsidRPr="008F406A" w:rsidRDefault="008F406A" w:rsidP="008F406A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傳真：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(0</w:t>
                      </w:r>
                      <w:r w:rsidRPr="008F406A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3)5730580   E-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m</w:t>
                      </w:r>
                      <w:r w:rsidRPr="008F406A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ail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：</w:t>
                      </w:r>
                      <w:hyperlink r:id="rId10" w:history="1">
                        <w:r w:rsidRPr="008F406A">
                          <w:rPr>
                            <w:rStyle w:val="a9"/>
                            <w:rFonts w:ascii="Times New Roman" w:eastAsia="標楷體" w:hAnsi="Times New Roman" w:hint="eastAsia"/>
                          </w:rPr>
                          <w:t>c</w:t>
                        </w:r>
                        <w:r w:rsidRPr="008F406A">
                          <w:rPr>
                            <w:rStyle w:val="a9"/>
                            <w:rFonts w:ascii="Times New Roman" w:eastAsia="標楷體" w:hAnsi="Times New Roman"/>
                          </w:rPr>
                          <w:t>hiehying@edf.org.tw</w:t>
                        </w:r>
                      </w:hyperlink>
                    </w:p>
                    <w:p w14:paraId="496E4343" w14:textId="5C93173A" w:rsidR="008F406A" w:rsidRPr="008F406A" w:rsidRDefault="008F406A" w:rsidP="008F406A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如有任何問題請洽詢：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(0</w:t>
                      </w:r>
                      <w:r w:rsidRPr="008F406A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3)5730675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分機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 xml:space="preserve">13   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李杰穎副研究員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33D7" w:rsidRPr="00D90424" w:rsidSect="00A00E52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B418" w14:textId="77777777" w:rsidR="008127CB" w:rsidRDefault="008127CB" w:rsidP="00FB7E6A">
      <w:r>
        <w:separator/>
      </w:r>
    </w:p>
  </w:endnote>
  <w:endnote w:type="continuationSeparator" w:id="0">
    <w:p w14:paraId="39F2A371" w14:textId="77777777" w:rsidR="008127CB" w:rsidRDefault="008127CB" w:rsidP="00FB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4588" w14:textId="77777777" w:rsidR="008127CB" w:rsidRDefault="008127CB" w:rsidP="00FB7E6A">
      <w:r>
        <w:separator/>
      </w:r>
    </w:p>
  </w:footnote>
  <w:footnote w:type="continuationSeparator" w:id="0">
    <w:p w14:paraId="1387F247" w14:textId="77777777" w:rsidR="008127CB" w:rsidRDefault="008127CB" w:rsidP="00FB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065A"/>
    <w:multiLevelType w:val="hybridMultilevel"/>
    <w:tmpl w:val="08307262"/>
    <w:lvl w:ilvl="0" w:tplc="659C862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num w:numId="1" w16cid:durableId="32120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7A"/>
    <w:rsid w:val="00033487"/>
    <w:rsid w:val="0010344B"/>
    <w:rsid w:val="00176281"/>
    <w:rsid w:val="00192191"/>
    <w:rsid w:val="002748CE"/>
    <w:rsid w:val="00391E10"/>
    <w:rsid w:val="004B63D5"/>
    <w:rsid w:val="006674D4"/>
    <w:rsid w:val="006A7EED"/>
    <w:rsid w:val="006C33D7"/>
    <w:rsid w:val="006C6859"/>
    <w:rsid w:val="006C7159"/>
    <w:rsid w:val="00732C7A"/>
    <w:rsid w:val="00754518"/>
    <w:rsid w:val="007C13DD"/>
    <w:rsid w:val="007C4A7A"/>
    <w:rsid w:val="007F7838"/>
    <w:rsid w:val="00803780"/>
    <w:rsid w:val="008127CB"/>
    <w:rsid w:val="00855C09"/>
    <w:rsid w:val="008C3549"/>
    <w:rsid w:val="008F406A"/>
    <w:rsid w:val="009B342E"/>
    <w:rsid w:val="00A00E52"/>
    <w:rsid w:val="00B22050"/>
    <w:rsid w:val="00BD5CCF"/>
    <w:rsid w:val="00BE515E"/>
    <w:rsid w:val="00D6145D"/>
    <w:rsid w:val="00D90424"/>
    <w:rsid w:val="00E264DF"/>
    <w:rsid w:val="00E938B9"/>
    <w:rsid w:val="00EF33CA"/>
    <w:rsid w:val="00F06AC9"/>
    <w:rsid w:val="00F8431B"/>
    <w:rsid w:val="00F93C79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3C583"/>
  <w15:chartTrackingRefBased/>
  <w15:docId w15:val="{F43635E3-DCA7-4514-8061-DEED5BA6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CF"/>
    <w:pPr>
      <w:ind w:leftChars="200" w:left="480"/>
    </w:pPr>
  </w:style>
  <w:style w:type="table" w:styleId="a4">
    <w:name w:val="Table Grid"/>
    <w:basedOn w:val="a1"/>
    <w:uiPriority w:val="39"/>
    <w:rsid w:val="00F8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7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7E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7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7E6A"/>
    <w:rPr>
      <w:sz w:val="20"/>
      <w:szCs w:val="20"/>
    </w:rPr>
  </w:style>
  <w:style w:type="character" w:styleId="a9">
    <w:name w:val="Hyperlink"/>
    <w:basedOn w:val="a0"/>
    <w:uiPriority w:val="99"/>
    <w:unhideWhenUsed/>
    <w:rsid w:val="008F406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F4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WmjJUPp52QHUqB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iehying@edf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ehying@ed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pig060119@gmail.com</dc:creator>
  <cp:keywords/>
  <dc:description/>
  <cp:lastModifiedBy>pig060119@gmail.com</cp:lastModifiedBy>
  <cp:revision>12</cp:revision>
  <cp:lastPrinted>2022-03-24T06:10:00Z</cp:lastPrinted>
  <dcterms:created xsi:type="dcterms:W3CDTF">2022-03-15T01:05:00Z</dcterms:created>
  <dcterms:modified xsi:type="dcterms:W3CDTF">2022-05-04T03:24:00Z</dcterms:modified>
</cp:coreProperties>
</file>